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09532A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0404D5">
        <w:rPr>
          <w:rStyle w:val="tlid-translation"/>
          <w:sz w:val="24"/>
          <w:szCs w:val="24"/>
          <w:lang w:val="bg-BG"/>
        </w:rPr>
        <w:t>Република Сърбия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DA323F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0404D5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0404D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 w:rsidRPr="000404D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0404D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0404D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0404D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7715FC" w:rsidRPr="000404D5">
        <w:rPr>
          <w:rStyle w:val="tlid-translation"/>
          <w:b/>
          <w:sz w:val="24"/>
          <w:szCs w:val="24"/>
          <w:lang w:val="bg-BG"/>
        </w:rPr>
        <w:t>Република Сърбия</w:t>
      </w:r>
      <w:r w:rsidR="001D4F9E" w:rsidRPr="000404D5">
        <w:rPr>
          <w:rStyle w:val="tlid-translation"/>
          <w:b/>
          <w:sz w:val="24"/>
          <w:szCs w:val="24"/>
          <w:lang w:val="bg-BG"/>
        </w:rPr>
        <w:t xml:space="preserve"> </w:t>
      </w:r>
      <w:r w:rsidRPr="000404D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Изграждане на капацитет в областта на защита правата на човека, прилагането на 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>правозащитните стандарти и подобряване достъпа до правосъдие;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Утвърждаването на демократичните ценности и реформиране на публичния сектор съгласно 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европейските стандарти в контекста на процеса на европейската интеграция на Сърбия /вкл. 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>чрез изпращането на български експерти/;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Повишаването на административния капацитет с цел укрепване на върховенството на закона, 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демократичното управление и насърчаване на гражданското общество и социалното включване 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>на младите хора в процеса на вземане на решение;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Свързаност – малък и среден бизнес, предприемачество, създаване на работни места за 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младите хора с акцент върху регионите, които са най-слабо развити по отношение на 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>икономическото развитие, достъпа до образование, здравеопазване и др.;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Подобряване на учебната среда в образователните институции с фокус върху слабо развитите 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>региони;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Осигуряване на качествена и здравословна околна среда и устойчиво управление на 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>природните ресурси;</w:t>
      </w:r>
    </w:p>
    <w:p w:rsidR="00004AAD" w:rsidRPr="00004AAD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Подобряване на енергийната ефективност на обществен и социално значим сграден фонд с </w:t>
      </w:r>
    </w:p>
    <w:p w:rsidR="001D4F9E" w:rsidRPr="000B48F1" w:rsidRDefault="00004AAD" w:rsidP="00004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004AAD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акцент вър</w:t>
      </w:r>
      <w:r w:rsidR="00CD6B4F">
        <w:rPr>
          <w:rFonts w:eastAsia="Times New Roman" w:cstheme="minorHAnsi"/>
          <w:i/>
          <w:color w:val="212121"/>
          <w:sz w:val="24"/>
          <w:szCs w:val="24"/>
          <w:lang w:val="bg-BG"/>
        </w:rPr>
        <w:t>ху най-слабо развитите региони.</w:t>
      </w:r>
    </w:p>
    <w:p w:rsidR="00B93894" w:rsidRPr="00004AAD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BC1DE9" w:rsidRDefault="00BC1DE9" w:rsidP="00BC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BC1DE9">
        <w:rPr>
          <w:rFonts w:eastAsia="Times New Roman" w:cstheme="minorHAnsi"/>
          <w:i/>
          <w:color w:val="212121"/>
          <w:sz w:val="24"/>
          <w:szCs w:val="24"/>
          <w:lang w:val="bg-BG"/>
        </w:rPr>
        <w:t>•</w:t>
      </w:r>
      <w:r w:rsidRPr="00BC1DE9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Оказване на съдействие за процесите на демократични реформи, защита на правата на човека и правата на малцинствата, укрепване на върховенството на закона, на публичните институции, на гражданското общество, на пазарната икономика и др., включително в контекста на подкрепата за европейската интеграция;</w:t>
      </w:r>
      <w:r w:rsidR="00494E2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-  </w:t>
      </w:r>
      <w:r w:rsidR="00494E2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„Мир и стабилност“ – цел </w:t>
      </w:r>
      <w:r w:rsidR="00220344" w:rsidRPr="0022034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№ </w:t>
      </w:r>
      <w:r w:rsidR="00494E2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16 на </w:t>
      </w:r>
      <w:r w:rsidR="00494E2E" w:rsidRPr="00494E2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Целите за устойчиво развитие</w:t>
      </w:r>
      <w:r w:rsidR="00494E2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за 2030 на ООН</w:t>
      </w:r>
    </w:p>
    <w:p w:rsidR="00312EF5" w:rsidRPr="00494E2E" w:rsidRDefault="00312EF5" w:rsidP="00BC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</w:p>
    <w:p w:rsidR="00BC1DE9" w:rsidRDefault="00BC1DE9" w:rsidP="00BC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BC1DE9">
        <w:rPr>
          <w:rFonts w:eastAsia="Times New Roman" w:cstheme="minorHAnsi"/>
          <w:i/>
          <w:color w:val="212121"/>
          <w:sz w:val="24"/>
          <w:szCs w:val="24"/>
          <w:lang w:val="bg-BG"/>
        </w:rPr>
        <w:t>•</w:t>
      </w:r>
      <w:r w:rsidRPr="00BC1DE9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Стимулиране и подпомагане на изграждането на административния капацитет на Сърбия за постигане на процесите на демократичните реформи и спазването на правата на човека и правата на малцинствата, особено по отношение на институции, които към момента нямат достатъчно опит и кадрови капацитет за съответните функции и дейности;</w:t>
      </w:r>
      <w:r w:rsidR="008F52E9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-  </w:t>
      </w:r>
      <w:r w:rsidR="008F52E9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„Мир и стабилност“ – цел </w:t>
      </w:r>
      <w:r w:rsidR="008F52E9" w:rsidRPr="0022034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№ </w:t>
      </w:r>
      <w:r w:rsidR="008F52E9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16 на </w:t>
      </w:r>
      <w:r w:rsidR="008F52E9" w:rsidRPr="00494E2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Целите за устойчиво развитие</w:t>
      </w:r>
      <w:r w:rsidR="008F52E9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за 2030 на ООН</w:t>
      </w:r>
    </w:p>
    <w:p w:rsidR="00312EF5" w:rsidRPr="00BC1DE9" w:rsidRDefault="00312EF5" w:rsidP="00BC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</w:p>
    <w:p w:rsidR="00BC1DE9" w:rsidRDefault="00BC1DE9" w:rsidP="00BC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BC1DE9">
        <w:rPr>
          <w:rFonts w:eastAsia="Times New Roman" w:cstheme="minorHAnsi"/>
          <w:i/>
          <w:color w:val="212121"/>
          <w:sz w:val="24"/>
          <w:szCs w:val="24"/>
          <w:lang w:val="bg-BG"/>
        </w:rPr>
        <w:t>•</w:t>
      </w:r>
      <w:r w:rsidRPr="00BC1DE9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Подкрепа за свободата на словото и медиите чрез насърчаване на качествена, независима и гражданска журналистика;</w:t>
      </w:r>
      <w:r w:rsidR="004B5E64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- </w:t>
      </w:r>
      <w:r w:rsidR="004B5E6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„Мир и стабилност“ – цел </w:t>
      </w:r>
      <w:r w:rsidR="004B5E64" w:rsidRPr="0022034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№ </w:t>
      </w:r>
      <w:r w:rsidR="004B5E6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16 на </w:t>
      </w:r>
      <w:r w:rsidR="004B5E64" w:rsidRPr="00494E2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Целите за устойчиво развитие</w:t>
      </w:r>
      <w:r w:rsidR="004B5E6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за 2030 на ООН</w:t>
      </w:r>
    </w:p>
    <w:p w:rsidR="00312EF5" w:rsidRPr="00BC1DE9" w:rsidRDefault="00312EF5" w:rsidP="00BC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</w:p>
    <w:p w:rsidR="009529DF" w:rsidRPr="00BC1DE9" w:rsidRDefault="00BC1DE9" w:rsidP="00952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BC1DE9">
        <w:rPr>
          <w:rFonts w:eastAsia="Times New Roman" w:cstheme="minorHAnsi"/>
          <w:i/>
          <w:color w:val="212121"/>
          <w:sz w:val="24"/>
          <w:szCs w:val="24"/>
          <w:lang w:val="bg-BG"/>
        </w:rPr>
        <w:t>•</w:t>
      </w:r>
      <w:r w:rsidRPr="00BC1DE9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Подобряване на бизнес средата и повишаване на заетостта;</w:t>
      </w:r>
      <w:r w:rsidR="009529DF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- </w:t>
      </w:r>
      <w:r w:rsidR="009529DF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„Сигурна работа и икономически растеж“ – цел </w:t>
      </w:r>
      <w:r w:rsidR="009529DF" w:rsidRPr="0022034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№ </w:t>
      </w:r>
      <w:r w:rsidR="009529DF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8 на </w:t>
      </w:r>
      <w:r w:rsidR="009529DF" w:rsidRPr="00494E2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Целите за устойчиво развитие</w:t>
      </w:r>
      <w:r w:rsidR="009529DF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за 2030 на ООН</w:t>
      </w:r>
    </w:p>
    <w:p w:rsidR="00BC1DE9" w:rsidRPr="00BC1DE9" w:rsidRDefault="00BC1DE9" w:rsidP="00BC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</w:p>
    <w:p w:rsidR="001D4F9E" w:rsidRPr="00837C58" w:rsidRDefault="00BC1DE9" w:rsidP="00BC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C1DE9">
        <w:rPr>
          <w:rFonts w:eastAsia="Times New Roman" w:cstheme="minorHAnsi"/>
          <w:i/>
          <w:color w:val="212121"/>
          <w:sz w:val="24"/>
          <w:szCs w:val="24"/>
          <w:lang w:val="bg-BG"/>
        </w:rPr>
        <w:t>•</w:t>
      </w:r>
      <w:r w:rsidRPr="00BC1DE9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Стимулиране на добрите практики в сферата на мониторинга и опазването на околната среда, както и в устойчивото управление на природните ресурси.</w:t>
      </w:r>
      <w:r w:rsidR="00312EF5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- </w:t>
      </w:r>
      <w:r w:rsidR="00312EF5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„</w:t>
      </w:r>
      <w:r w:rsidR="004934CB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Борба с климатичните промени</w:t>
      </w:r>
      <w:r w:rsidR="00312EF5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“ – цел </w:t>
      </w:r>
      <w:r w:rsidR="00312EF5" w:rsidRPr="00220344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№ </w:t>
      </w:r>
      <w:r w:rsidR="00312EF5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13 на </w:t>
      </w:r>
      <w:r w:rsidR="00312EF5" w:rsidRPr="00494E2E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Целите за устойчиво развитие</w:t>
      </w:r>
      <w:r w:rsidR="00312EF5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за 2030 на ООН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A171A2" w:rsidRPr="00A171A2" w:rsidRDefault="00A171A2" w:rsidP="00A17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>•</w:t>
      </w: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Неправителствени организации;</w:t>
      </w:r>
    </w:p>
    <w:p w:rsidR="00A171A2" w:rsidRPr="00A171A2" w:rsidRDefault="00A171A2" w:rsidP="00A17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>•</w:t>
      </w: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Организации на местно самоуправление;</w:t>
      </w:r>
    </w:p>
    <w:p w:rsidR="00A171A2" w:rsidRPr="00A171A2" w:rsidRDefault="00A171A2" w:rsidP="00A17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>•</w:t>
      </w: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Образователни институции;</w:t>
      </w:r>
    </w:p>
    <w:p w:rsidR="00A171A2" w:rsidRPr="00A171A2" w:rsidRDefault="00A171A2" w:rsidP="00A17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>•</w:t>
      </w: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Младите хора в Република Сърбия;</w:t>
      </w:r>
    </w:p>
    <w:p w:rsidR="00A171A2" w:rsidRPr="00A171A2" w:rsidRDefault="00A171A2" w:rsidP="00A17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>•</w:t>
      </w: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Малцинствените групи;</w:t>
      </w:r>
    </w:p>
    <w:p w:rsidR="00A171A2" w:rsidRDefault="00A171A2" w:rsidP="00A17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>•</w:t>
      </w:r>
      <w:r w:rsidRPr="00A171A2">
        <w:rPr>
          <w:rFonts w:eastAsia="Times New Roman" w:cstheme="minorHAnsi"/>
          <w:i/>
          <w:color w:val="212121"/>
          <w:sz w:val="24"/>
          <w:szCs w:val="24"/>
          <w:lang w:val="bg-BG"/>
        </w:rPr>
        <w:tab/>
        <w:t>Еко организации.</w:t>
      </w:r>
    </w:p>
    <w:p w:rsidR="00A171A2" w:rsidRDefault="00A171A2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</w:p>
    <w:p w:rsidR="00A171A2" w:rsidRPr="00D351BD" w:rsidRDefault="00A171A2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CE259B" w:rsidRPr="00CE259B" w:rsidRDefault="00CE259B" w:rsidP="00CE259B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CE259B">
        <w:rPr>
          <w:rFonts w:eastAsia="Times New Roman" w:cstheme="minorHAnsi"/>
          <w:i/>
          <w:color w:val="212121"/>
          <w:sz w:val="24"/>
          <w:szCs w:val="24"/>
          <w:lang w:val="bg-BG"/>
        </w:rPr>
        <w:t>утвърждаване на доброто име и международния авторитет на България;</w:t>
      </w:r>
    </w:p>
    <w:p w:rsidR="00CE259B" w:rsidRPr="00CE259B" w:rsidRDefault="00CE259B" w:rsidP="00CE259B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CE259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подобряване на социално-икономическото развитие и доброто управление; </w:t>
      </w:r>
    </w:p>
    <w:p w:rsidR="00CE259B" w:rsidRPr="00CE259B" w:rsidRDefault="00CE259B" w:rsidP="00CE259B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CE259B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задълбочаване на взаимодействието между институциите на централно, регионално и местно ниво и пр.;</w:t>
      </w:r>
    </w:p>
    <w:p w:rsidR="00CE259B" w:rsidRPr="00CE259B" w:rsidRDefault="00CE259B" w:rsidP="00CE259B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CE259B">
        <w:rPr>
          <w:rFonts w:eastAsia="Times New Roman" w:cstheme="minorHAnsi"/>
          <w:i/>
          <w:color w:val="212121"/>
          <w:sz w:val="24"/>
          <w:szCs w:val="24"/>
          <w:lang w:val="bg-BG"/>
        </w:rPr>
        <w:t>видим напредък в гарантирането на правата на националните малцинства чрез ефективно прилагане на правозащитни стандарти и укрепване на правозащитната култура на местните администрации и националните съвети на националните малцинства;</w:t>
      </w:r>
    </w:p>
    <w:p w:rsidR="00CE259B" w:rsidRPr="00CE259B" w:rsidRDefault="00CE259B" w:rsidP="00CE259B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CE259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подкрепа за свободата на словото и медиите чрез </w:t>
      </w:r>
      <w:proofErr w:type="spellStart"/>
      <w:r w:rsidRPr="00CE259B">
        <w:rPr>
          <w:rFonts w:eastAsia="Times New Roman" w:cstheme="minorHAnsi"/>
          <w:i/>
          <w:color w:val="212121"/>
          <w:sz w:val="24"/>
          <w:szCs w:val="24"/>
          <w:lang w:val="bg-BG"/>
        </w:rPr>
        <w:t>насърчаванe</w:t>
      </w:r>
      <w:proofErr w:type="spellEnd"/>
      <w:r w:rsidRPr="00CE259B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на качествена, независима и гражданска журналистика;</w:t>
      </w:r>
    </w:p>
    <w:p w:rsidR="00CE259B" w:rsidRPr="00CE259B" w:rsidRDefault="00CE259B" w:rsidP="00CE259B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CE259B">
        <w:rPr>
          <w:rFonts w:eastAsia="Times New Roman" w:cstheme="minorHAnsi"/>
          <w:i/>
          <w:color w:val="212121"/>
          <w:sz w:val="24"/>
          <w:szCs w:val="24"/>
          <w:lang w:val="bg-BG"/>
        </w:rPr>
        <w:t>засилване на административния капацитет за демократични реформи и укрепване на върховенството на закона, насърчаване на доброто управление;</w:t>
      </w:r>
    </w:p>
    <w:p w:rsidR="00CE259B" w:rsidRPr="00CE259B" w:rsidRDefault="00CE259B" w:rsidP="00CE259B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CE259B">
        <w:rPr>
          <w:rFonts w:eastAsia="Times New Roman" w:cstheme="minorHAnsi"/>
          <w:i/>
          <w:color w:val="212121"/>
          <w:sz w:val="24"/>
          <w:szCs w:val="24"/>
          <w:lang w:val="bg-BG"/>
        </w:rPr>
        <w:t>повишаване информираността и гражданската активност на младите хора и тяхното овластяване при управление на публичните политики;</w:t>
      </w:r>
    </w:p>
    <w:p w:rsidR="00CE259B" w:rsidRPr="00CE259B" w:rsidRDefault="00CE259B" w:rsidP="00CE259B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CE259B">
        <w:rPr>
          <w:rFonts w:eastAsia="Times New Roman" w:cstheme="minorHAnsi"/>
          <w:i/>
          <w:color w:val="212121"/>
          <w:sz w:val="24"/>
          <w:szCs w:val="24"/>
          <w:lang w:val="bg-BG"/>
        </w:rPr>
        <w:t>създаване на по-добри условия и повишаване конкурентоспособността за малкия и среден бизнес и предприемачеството, със специално внимание към създаването на нови възможности за младите хора;</w:t>
      </w:r>
    </w:p>
    <w:p w:rsidR="00CE259B" w:rsidRPr="00D351BD" w:rsidRDefault="00CE259B" w:rsidP="00CE2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CE259B">
        <w:rPr>
          <w:rFonts w:eastAsia="Times New Roman" w:cstheme="minorHAnsi"/>
          <w:i/>
          <w:color w:val="212121"/>
          <w:sz w:val="24"/>
          <w:szCs w:val="24"/>
          <w:lang w:val="bg-BG"/>
        </w:rPr>
        <w:t>по-качествена и здравословна околна среда и устойчиво управление на природните ресурси.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2D2FFE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</w:t>
      </w:r>
      <w:r w:rsidRPr="00C37282">
        <w:rPr>
          <w:rFonts w:eastAsia="Times New Roman" w:cstheme="minorHAnsi"/>
          <w:iCs/>
          <w:sz w:val="24"/>
          <w:szCs w:val="24"/>
          <w:lang w:val="bg-BG"/>
        </w:rPr>
        <w:t xml:space="preserve">е  </w:t>
      </w:r>
      <w:r w:rsidR="00EC6573">
        <w:rPr>
          <w:rFonts w:eastAsia="Times New Roman" w:cstheme="minorHAnsi"/>
          <w:b/>
          <w:iCs/>
          <w:sz w:val="24"/>
          <w:szCs w:val="24"/>
          <w:lang w:val="bg-BG"/>
        </w:rPr>
        <w:t>2</w:t>
      </w:r>
      <w:r w:rsidR="00284CD0" w:rsidRPr="00C6334B">
        <w:rPr>
          <w:rFonts w:eastAsia="Times New Roman" w:cstheme="minorHAnsi"/>
          <w:b/>
          <w:iCs/>
          <w:sz w:val="24"/>
          <w:szCs w:val="24"/>
          <w:lang w:val="bg-BG"/>
        </w:rPr>
        <w:t>0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  <w:r w:rsidR="00975A35">
        <w:rPr>
          <w:rFonts w:eastAsia="Times New Roman" w:cstheme="minorHAnsi"/>
          <w:b/>
          <w:iCs/>
          <w:sz w:val="24"/>
          <w:szCs w:val="24"/>
          <w:lang w:val="bg-BG"/>
        </w:rPr>
        <w:t xml:space="preserve"> /</w:t>
      </w:r>
      <w:r w:rsidR="00975A35" w:rsidRPr="00975A35">
        <w:rPr>
          <w:rFonts w:eastAsia="Times New Roman" w:cstheme="minorHAnsi"/>
          <w:b/>
          <w:iCs/>
          <w:sz w:val="24"/>
          <w:szCs w:val="24"/>
          <w:lang w:val="bg-BG"/>
        </w:rPr>
        <w:t xml:space="preserve"> (10 000 </w:t>
      </w:r>
      <w:r w:rsidR="0009532A">
        <w:rPr>
          <w:rFonts w:eastAsia="Times New Roman" w:cstheme="minorHAnsi"/>
          <w:b/>
          <w:iCs/>
          <w:sz w:val="24"/>
          <w:szCs w:val="24"/>
          <w:lang w:val="bg-BG"/>
        </w:rPr>
        <w:t>евро</w:t>
      </w:r>
      <w:bookmarkStart w:id="0" w:name="_GoBack"/>
      <w:bookmarkEnd w:id="0"/>
      <w:r w:rsidR="00975A35" w:rsidRPr="00975A35">
        <w:rPr>
          <w:rFonts w:eastAsia="Times New Roman" w:cstheme="minorHAnsi"/>
          <w:b/>
          <w:iCs/>
          <w:sz w:val="24"/>
          <w:szCs w:val="24"/>
          <w:lang w:val="bg-BG"/>
        </w:rPr>
        <w:t>)</w:t>
      </w:r>
    </w:p>
    <w:p w:rsidR="00754B52" w:rsidRPr="00651020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  <w:r w:rsidR="00651020" w:rsidRPr="00651020">
        <w:rPr>
          <w:rFonts w:eastAsia="Times New Roman" w:cstheme="minorHAnsi"/>
          <w:iCs/>
          <w:sz w:val="24"/>
          <w:szCs w:val="24"/>
          <w:lang w:val="bg-BG"/>
        </w:rPr>
        <w:t xml:space="preserve"> </w:t>
      </w:r>
    </w:p>
    <w:p w:rsidR="003D6175" w:rsidRPr="00837C58" w:rsidRDefault="003D6175" w:rsidP="00651020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651020">
        <w:rPr>
          <w:rFonts w:asciiTheme="minorHAnsi" w:hAnsiTheme="minorHAnsi" w:cstheme="minorHAnsi"/>
          <w:iCs/>
          <w:lang w:val="bg-BG"/>
        </w:rPr>
        <w:t xml:space="preserve">до </w:t>
      </w:r>
      <w:r w:rsidR="00284CD0" w:rsidRPr="00651020">
        <w:rPr>
          <w:rFonts w:asciiTheme="minorHAnsi" w:hAnsiTheme="minorHAnsi" w:cstheme="minorHAnsi"/>
          <w:b/>
          <w:iCs/>
          <w:lang w:val="bg-BG"/>
        </w:rPr>
        <w:t>1</w:t>
      </w:r>
      <w:r w:rsidR="00EC6573" w:rsidRPr="00651020">
        <w:rPr>
          <w:rFonts w:asciiTheme="minorHAnsi" w:hAnsiTheme="minorHAnsi" w:cstheme="minorHAnsi"/>
          <w:b/>
          <w:iCs/>
          <w:lang w:val="bg-BG"/>
        </w:rPr>
        <w:t>5</w:t>
      </w:r>
      <w:r w:rsidR="00284CD0" w:rsidRPr="00651020">
        <w:rPr>
          <w:rFonts w:asciiTheme="minorHAnsi" w:hAnsiTheme="minorHAnsi" w:cstheme="minorHAnsi"/>
          <w:b/>
          <w:iCs/>
          <w:lang w:val="bg-BG"/>
        </w:rPr>
        <w:t>0</w:t>
      </w:r>
      <w:r w:rsidR="001F5968" w:rsidRPr="00651020">
        <w:rPr>
          <w:rFonts w:asciiTheme="minorHAnsi" w:hAnsiTheme="minorHAnsi" w:cstheme="minorHAnsi"/>
          <w:b/>
          <w:iCs/>
          <w:lang w:val="bg-BG"/>
        </w:rPr>
        <w:t xml:space="preserve"> 000</w:t>
      </w:r>
      <w:r w:rsidRPr="00651020">
        <w:rPr>
          <w:rFonts w:asciiTheme="minorHAnsi" w:hAnsiTheme="minorHAnsi" w:cstheme="minorHAnsi"/>
          <w:iCs/>
          <w:lang w:val="bg-BG"/>
        </w:rPr>
        <w:t xml:space="preserve"> лв.</w:t>
      </w:r>
      <w:r w:rsidR="00651020" w:rsidRPr="00651020">
        <w:rPr>
          <w:rFonts w:asciiTheme="minorHAnsi" w:hAnsiTheme="minorHAnsi" w:cstheme="minorHAnsi"/>
          <w:iCs/>
          <w:lang w:val="bg-BG"/>
        </w:rPr>
        <w:t xml:space="preserve"> / </w:t>
      </w:r>
      <w:r w:rsidR="00651020" w:rsidRPr="00651020">
        <w:rPr>
          <w:rFonts w:asciiTheme="minorHAnsi" w:hAnsiTheme="minorHAnsi" w:cstheme="minorHAnsi"/>
          <w:b/>
          <w:iCs/>
          <w:lang w:val="bg-BG"/>
        </w:rPr>
        <w:t>76 726  евро</w:t>
      </w:r>
      <w:r w:rsidR="00651020" w:rsidRPr="00651020">
        <w:rPr>
          <w:rFonts w:asciiTheme="minorHAnsi" w:hAnsiTheme="minorHAnsi" w:cstheme="minorHAnsi"/>
          <w:iCs/>
          <w:lang w:val="bg-BG"/>
        </w:rPr>
        <w:t xml:space="preserve"> </w:t>
      </w:r>
    </w:p>
    <w:p w:rsidR="000556DF" w:rsidRPr="000556DF" w:rsidRDefault="003D6175" w:rsidP="00DB5CB5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D30F1E">
        <w:rPr>
          <w:rFonts w:asciiTheme="minorHAnsi" w:hAnsiTheme="minorHAnsi" w:cstheme="minorHAnsi"/>
          <w:iCs/>
          <w:lang w:val="bg-BG"/>
        </w:rPr>
        <w:t>–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EC6573" w:rsidRPr="00DB5CB5">
        <w:rPr>
          <w:rFonts w:asciiTheme="minorHAnsi" w:hAnsiTheme="minorHAnsi" w:cstheme="minorHAnsi"/>
          <w:b/>
          <w:iCs/>
          <w:lang w:val="bg-BG"/>
        </w:rPr>
        <w:t>30</w:t>
      </w:r>
      <w:r w:rsidR="0091450D" w:rsidRPr="00DB5CB5">
        <w:rPr>
          <w:rFonts w:asciiTheme="minorHAnsi" w:hAnsiTheme="minorHAnsi" w:cstheme="minorHAnsi"/>
          <w:b/>
          <w:iCs/>
          <w:lang w:val="bg-BG"/>
        </w:rPr>
        <w:t xml:space="preserve">0 000 </w:t>
      </w:r>
      <w:r w:rsidRPr="00DB5CB5">
        <w:rPr>
          <w:rFonts w:asciiTheme="minorHAnsi" w:hAnsiTheme="minorHAnsi" w:cstheme="minorHAnsi"/>
          <w:b/>
          <w:iCs/>
          <w:lang w:val="bg-BG"/>
        </w:rPr>
        <w:t>лв.</w:t>
      </w:r>
      <w:r w:rsidR="00DB5CB5" w:rsidRPr="00DB5CB5">
        <w:rPr>
          <w:rFonts w:asciiTheme="minorHAnsi" w:hAnsiTheme="minorHAnsi" w:cstheme="minorHAnsi"/>
          <w:iCs/>
          <w:lang w:val="bg-BG"/>
        </w:rPr>
        <w:t xml:space="preserve"> / </w:t>
      </w:r>
      <w:r w:rsidR="00DB5CB5" w:rsidRPr="00DB5CB5">
        <w:rPr>
          <w:rFonts w:asciiTheme="minorHAnsi" w:hAnsiTheme="minorHAnsi" w:cstheme="minorHAnsi"/>
          <w:b/>
          <w:iCs/>
          <w:lang w:val="bg-BG"/>
        </w:rPr>
        <w:t>153 846 евро</w:t>
      </w:r>
    </w:p>
    <w:p w:rsidR="000556DF" w:rsidRPr="00EC6573" w:rsidRDefault="00B8180A" w:rsidP="001B1DE3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1B1DE3">
        <w:rPr>
          <w:rFonts w:asciiTheme="minorHAnsi" w:hAnsiTheme="minorHAnsi" w:cstheme="minorHAnsi"/>
          <w:iCs/>
          <w:lang w:val="bg-BG"/>
        </w:rPr>
        <w:t>за проекти, чи</w:t>
      </w:r>
      <w:r w:rsidR="00385BAF" w:rsidRPr="001B1DE3">
        <w:rPr>
          <w:rFonts w:asciiTheme="minorHAnsi" w:hAnsiTheme="minorHAnsi" w:cstheme="minorHAnsi"/>
          <w:iCs/>
          <w:lang w:val="bg-BG"/>
        </w:rPr>
        <w:t>ято основна цел е</w:t>
      </w:r>
      <w:r w:rsidRPr="001B1DE3">
        <w:rPr>
          <w:rFonts w:asciiTheme="minorHAnsi" w:hAnsiTheme="minorHAnsi" w:cstheme="minorHAnsi"/>
          <w:iCs/>
          <w:lang w:val="bg-BG"/>
        </w:rPr>
        <w:t xml:space="preserve"> изпълнение са</w:t>
      </w:r>
      <w:r w:rsidR="000556DF" w:rsidRPr="001B1DE3">
        <w:rPr>
          <w:rFonts w:asciiTheme="minorHAnsi" w:hAnsiTheme="minorHAnsi" w:cstheme="minorHAnsi"/>
          <w:iCs/>
          <w:lang w:val="bg-BG"/>
        </w:rPr>
        <w:t xml:space="preserve"> т.нар</w:t>
      </w:r>
      <w:r w:rsidR="000556DF" w:rsidRPr="00A124C9">
        <w:rPr>
          <w:rFonts w:asciiTheme="minorHAnsi" w:hAnsiTheme="minorHAnsi" w:cstheme="minorHAnsi"/>
          <w:b/>
          <w:iCs/>
          <w:lang w:val="bg-BG"/>
        </w:rPr>
        <w:t>. меки компоненти на ОПР</w:t>
      </w:r>
      <w:r w:rsidR="000556DF" w:rsidRPr="001B1DE3">
        <w:rPr>
          <w:rFonts w:asciiTheme="minorHAnsi" w:hAnsiTheme="minorHAnsi" w:cstheme="minorHAnsi"/>
          <w:iCs/>
          <w:lang w:val="bg-BG"/>
        </w:rPr>
        <w:t xml:space="preserve"> /конференции, семинари, колоквиуми</w:t>
      </w:r>
      <w:r w:rsidR="00EC6573" w:rsidRPr="001B1DE3">
        <w:rPr>
          <w:rFonts w:asciiTheme="minorHAnsi" w:hAnsiTheme="minorHAnsi" w:cstheme="minorHAnsi"/>
          <w:iCs/>
          <w:lang w:val="bg-BG"/>
        </w:rPr>
        <w:t>, творчески ателиета</w:t>
      </w:r>
      <w:r w:rsidR="000556DF" w:rsidRPr="001B1DE3">
        <w:rPr>
          <w:rFonts w:asciiTheme="minorHAnsi" w:hAnsiTheme="minorHAnsi" w:cstheme="minorHAnsi"/>
          <w:iCs/>
          <w:lang w:val="bg-BG"/>
        </w:rPr>
        <w:t xml:space="preserve"> и др./, размерът на помощта не може да надвишава </w:t>
      </w:r>
      <w:r w:rsidR="00EC6573" w:rsidRPr="001B1DE3">
        <w:rPr>
          <w:rFonts w:asciiTheme="minorHAnsi" w:hAnsiTheme="minorHAnsi" w:cstheme="minorHAnsi"/>
          <w:b/>
          <w:iCs/>
          <w:lang w:val="bg-BG"/>
        </w:rPr>
        <w:t>3</w:t>
      </w:r>
      <w:r w:rsidR="000556DF" w:rsidRPr="001B1DE3">
        <w:rPr>
          <w:rFonts w:asciiTheme="minorHAnsi" w:hAnsiTheme="minorHAnsi" w:cstheme="minorHAnsi"/>
          <w:b/>
          <w:iCs/>
          <w:lang w:val="bg-BG"/>
        </w:rPr>
        <w:t>0 000 лв.</w:t>
      </w:r>
      <w:r w:rsidR="001B1DE3" w:rsidRPr="001B1DE3">
        <w:rPr>
          <w:rFonts w:asciiTheme="minorHAnsi" w:hAnsiTheme="minorHAnsi" w:cstheme="minorHAnsi"/>
          <w:b/>
          <w:iCs/>
          <w:lang w:val="bg-BG"/>
        </w:rPr>
        <w:t>/ 15 345 евро</w:t>
      </w:r>
      <w:r w:rsidR="000556DF" w:rsidRPr="001B1DE3">
        <w:rPr>
          <w:rFonts w:asciiTheme="minorHAnsi" w:hAnsiTheme="minorHAnsi" w:cstheme="minorHAnsi"/>
          <w:b/>
          <w:iCs/>
          <w:lang w:val="bg-BG"/>
        </w:rPr>
        <w:t xml:space="preserve">, както и срокът за изпълнение не се допуска да бъде над </w:t>
      </w:r>
      <w:r w:rsidR="00EC6573" w:rsidRPr="001B1DE3">
        <w:rPr>
          <w:rFonts w:asciiTheme="minorHAnsi" w:hAnsiTheme="minorHAnsi" w:cstheme="minorHAnsi"/>
          <w:b/>
          <w:iCs/>
          <w:lang w:val="bg-BG"/>
        </w:rPr>
        <w:t xml:space="preserve">9 </w:t>
      </w:r>
      <w:r w:rsidR="000556DF" w:rsidRPr="001B1DE3">
        <w:rPr>
          <w:rFonts w:asciiTheme="minorHAnsi" w:hAnsiTheme="minorHAnsi" w:cstheme="minorHAnsi"/>
          <w:b/>
          <w:iCs/>
          <w:lang w:val="bg-BG"/>
        </w:rPr>
        <w:t>месеца</w:t>
      </w:r>
      <w:r w:rsidR="000556DF" w:rsidRPr="001B1DE3">
        <w:rPr>
          <w:rFonts w:asciiTheme="minorHAnsi" w:hAnsiTheme="minorHAnsi" w:cstheme="minorHAnsi"/>
          <w:iCs/>
          <w:lang w:val="bg-BG"/>
        </w:rPr>
        <w:t xml:space="preserve">. 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C6334B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D351BD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по-късно от 3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декември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917E9C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284CD0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г.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</w:p>
    <w:p w:rsidR="00EC6573" w:rsidRPr="00B40895" w:rsidRDefault="00EC657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837C58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C6573" w:rsidRPr="00594B77" w:rsidRDefault="00EC6573" w:rsidP="00594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lang w:val="bg-BG"/>
        </w:rPr>
      </w:pPr>
      <w:r w:rsidRPr="00594B77">
        <w:rPr>
          <w:rFonts w:cstheme="minorHAnsi"/>
          <w:lang w:val="bg-BG"/>
        </w:rPr>
        <w:t>Приоритетни:</w:t>
      </w:r>
    </w:p>
    <w:p w:rsidR="00C224A8" w:rsidRPr="00594B77" w:rsidRDefault="003D6175" w:rsidP="00594B77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94B77">
        <w:rPr>
          <w:rFonts w:asciiTheme="minorHAnsi" w:hAnsiTheme="minorHAnsi" w:cstheme="minorHAnsi"/>
          <w:lang w:val="bg-BG"/>
        </w:rPr>
        <w:t xml:space="preserve">Първостепенни </w:t>
      </w:r>
      <w:r w:rsidR="00351785" w:rsidRPr="00594B77">
        <w:rPr>
          <w:rFonts w:asciiTheme="minorHAnsi" w:hAnsiTheme="minorHAnsi" w:cstheme="minorHAnsi"/>
          <w:lang w:val="bg-BG"/>
        </w:rPr>
        <w:t xml:space="preserve">и второстепенни </w:t>
      </w:r>
      <w:r w:rsidRPr="00594B77">
        <w:rPr>
          <w:rFonts w:asciiTheme="minorHAnsi" w:hAnsiTheme="minorHAnsi" w:cstheme="minorHAnsi"/>
          <w:lang w:val="bg-BG"/>
        </w:rPr>
        <w:t>разпоредители с бюджет</w:t>
      </w:r>
      <w:r w:rsidR="00351785" w:rsidRPr="00594B77">
        <w:rPr>
          <w:rFonts w:asciiTheme="minorHAnsi" w:hAnsiTheme="minorHAnsi" w:cstheme="minorHAnsi"/>
          <w:lang w:val="bg-BG"/>
        </w:rPr>
        <w:t xml:space="preserve"> – юридически лица </w:t>
      </w:r>
      <w:r w:rsidR="001B3B61" w:rsidRPr="00594B77">
        <w:rPr>
          <w:rFonts w:asciiTheme="minorHAnsi" w:hAnsiTheme="minorHAnsi" w:cstheme="minorHAnsi"/>
          <w:lang w:val="bg-BG"/>
        </w:rPr>
        <w:t xml:space="preserve">на </w:t>
      </w:r>
      <w:r w:rsidR="00224B89" w:rsidRPr="00594B77">
        <w:rPr>
          <w:rFonts w:asciiTheme="minorHAnsi" w:hAnsiTheme="minorHAnsi" w:cstheme="minorHAnsi"/>
          <w:lang w:val="bg-BG"/>
        </w:rPr>
        <w:t>Република Сърбия</w:t>
      </w:r>
      <w:r w:rsidR="0013401C" w:rsidRPr="00594B77">
        <w:rPr>
          <w:rFonts w:asciiTheme="minorHAnsi" w:hAnsiTheme="minorHAnsi" w:cstheme="minorHAnsi"/>
          <w:lang w:val="bg-BG"/>
        </w:rPr>
        <w:t>;</w:t>
      </w:r>
    </w:p>
    <w:p w:rsidR="00351785" w:rsidRPr="00594B77" w:rsidRDefault="009F1DF5" w:rsidP="00594B77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94B77">
        <w:rPr>
          <w:rFonts w:asciiTheme="minorHAnsi" w:hAnsiTheme="minorHAnsi" w:cstheme="minorHAnsi"/>
          <w:lang w:val="bg-BG"/>
        </w:rPr>
        <w:t>Общини</w:t>
      </w:r>
      <w:r w:rsidR="00351785" w:rsidRPr="00594B77">
        <w:rPr>
          <w:rFonts w:asciiTheme="minorHAnsi" w:hAnsiTheme="minorHAnsi" w:cstheme="minorHAnsi"/>
          <w:lang w:val="bg-BG"/>
        </w:rPr>
        <w:t xml:space="preserve"> и техни обединения;</w:t>
      </w:r>
    </w:p>
    <w:p w:rsidR="00351785" w:rsidRPr="00594B77" w:rsidRDefault="00675165" w:rsidP="00594B77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94B77">
        <w:rPr>
          <w:rFonts w:asciiTheme="minorHAnsi" w:hAnsiTheme="minorHAnsi" w:cstheme="minorHAnsi"/>
          <w:lang w:val="bg-BG"/>
        </w:rPr>
        <w:t>Образователни, здравни и социални институции</w:t>
      </w:r>
      <w:r w:rsidR="004249B4" w:rsidRPr="00594B77">
        <w:rPr>
          <w:rFonts w:asciiTheme="minorHAnsi" w:hAnsiTheme="minorHAnsi" w:cstheme="minorHAnsi"/>
          <w:lang w:val="bg-BG"/>
        </w:rPr>
        <w:t>;</w:t>
      </w:r>
      <w:r w:rsidRPr="00594B77">
        <w:rPr>
          <w:rFonts w:asciiTheme="minorHAnsi" w:hAnsiTheme="minorHAnsi" w:cstheme="minorHAnsi"/>
          <w:lang w:val="bg-BG"/>
        </w:rPr>
        <w:t xml:space="preserve"> </w:t>
      </w:r>
    </w:p>
    <w:p w:rsidR="00351785" w:rsidRPr="00594B77" w:rsidRDefault="000B48F1" w:rsidP="00594B77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94B77">
        <w:rPr>
          <w:rFonts w:asciiTheme="minorHAnsi" w:hAnsiTheme="minorHAnsi" w:cstheme="minorHAnsi"/>
          <w:lang w:val="bg-BG"/>
        </w:rPr>
        <w:t>М</w:t>
      </w:r>
      <w:r w:rsidR="00675165" w:rsidRPr="00594B77">
        <w:rPr>
          <w:rFonts w:asciiTheme="minorHAnsi" w:hAnsiTheme="minorHAnsi" w:cstheme="minorHAnsi"/>
          <w:lang w:val="bg-BG"/>
        </w:rPr>
        <w:t>еждун</w:t>
      </w:r>
      <w:r w:rsidR="00644B8E" w:rsidRPr="00594B77">
        <w:rPr>
          <w:rFonts w:asciiTheme="minorHAnsi" w:hAnsiTheme="minorHAnsi" w:cstheme="minorHAnsi"/>
          <w:lang w:val="bg-BG"/>
        </w:rPr>
        <w:t>ародни хуманитарни организации</w:t>
      </w:r>
      <w:r w:rsidR="00351785" w:rsidRPr="00594B77">
        <w:rPr>
          <w:rFonts w:asciiTheme="minorHAnsi" w:hAnsiTheme="minorHAnsi" w:cstheme="minorHAnsi"/>
          <w:lang w:val="bg-BG"/>
        </w:rPr>
        <w:t>;</w:t>
      </w:r>
    </w:p>
    <w:p w:rsidR="00EC6573" w:rsidRPr="00594B77" w:rsidRDefault="00EC6573" w:rsidP="00594B77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94B77">
        <w:rPr>
          <w:rFonts w:asciiTheme="minorHAnsi" w:hAnsiTheme="minorHAnsi" w:cstheme="minorHAnsi"/>
          <w:lang w:val="bg-BG"/>
        </w:rPr>
        <w:t xml:space="preserve">Международни и местни неправителствени организации; </w:t>
      </w:r>
    </w:p>
    <w:p w:rsidR="00814F03" w:rsidRPr="00594B77" w:rsidRDefault="000B48F1" w:rsidP="00594B77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94B77">
        <w:rPr>
          <w:rFonts w:asciiTheme="minorHAnsi" w:hAnsiTheme="minorHAnsi" w:cstheme="minorHAnsi"/>
          <w:lang w:val="bg-BG"/>
        </w:rPr>
        <w:t>Д</w:t>
      </w:r>
      <w:r w:rsidR="00644B8E" w:rsidRPr="00594B77">
        <w:rPr>
          <w:rFonts w:asciiTheme="minorHAnsi" w:hAnsiTheme="minorHAnsi" w:cstheme="minorHAnsi"/>
          <w:lang w:val="bg-BG"/>
        </w:rPr>
        <w:t>руги.</w:t>
      </w:r>
    </w:p>
    <w:p w:rsidR="00814F03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14F03" w:rsidRPr="00B12C2A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B40895" w:rsidRDefault="00D351BD" w:rsidP="00D3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Недопустими кандидати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</w:t>
      </w:r>
      <w:r w:rsidR="000A6672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5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:</w:t>
      </w:r>
    </w:p>
    <w:p w:rsidR="00D351BD" w:rsidRPr="00814F03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i/>
          <w:lang w:val="bg-BG"/>
        </w:rPr>
      </w:pP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lang w:val="bg-BG"/>
        </w:rPr>
        <w:t>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</w:t>
      </w:r>
      <w:r>
        <w:rPr>
          <w:rFonts w:asciiTheme="minorHAnsi" w:hAnsiTheme="minorHAnsi" w:cstheme="minorHAnsi"/>
          <w:lang w:val="bg-BG"/>
        </w:rPr>
        <w:t>ие</w:t>
      </w:r>
      <w:r w:rsidR="00814F03">
        <w:rPr>
          <w:rFonts w:asciiTheme="minorHAnsi" w:hAnsiTheme="minorHAnsi" w:cstheme="minorHAnsi"/>
          <w:lang w:val="bg-BG"/>
        </w:rPr>
        <w:t xml:space="preserve"> /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Виж </w:t>
      </w:r>
      <w:r w:rsidR="00814F03" w:rsidRPr="00814F03">
        <w:rPr>
          <w:rFonts w:asciiTheme="minorHAnsi" w:hAnsiTheme="minorHAnsi" w:cstheme="minorHAnsi"/>
          <w:b/>
          <w:i/>
          <w:lang w:val="bg-BG"/>
        </w:rPr>
        <w:t>Анекс 1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 по-долу/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Бенефициенти, чийто проект/ти от предходни години не</w:t>
      </w:r>
      <w:r w:rsidRPr="00EC6573">
        <w:rPr>
          <w:rFonts w:asciiTheme="minorHAnsi" w:hAnsiTheme="minorHAnsi" w:cstheme="minorHAnsi"/>
          <w:lang w:val="bg-BG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lang w:val="bg-BG"/>
        </w:rPr>
        <w:t>/ не</w:t>
      </w:r>
      <w:r w:rsidRPr="00B17821">
        <w:rPr>
          <w:rFonts w:asciiTheme="minorHAnsi" w:hAnsiTheme="minorHAnsi" w:cstheme="minorHAnsi"/>
          <w:lang w:val="bg-BG"/>
        </w:rPr>
        <w:t xml:space="preserve"> са успешно завършени в срока на договора/анекса и без приети от МВнР финални отчети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в срок до 30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 юни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т.г.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които не са представили междинни отчети по проекти от предходни години </w:t>
      </w:r>
      <w:r>
        <w:rPr>
          <w:rFonts w:asciiTheme="minorHAnsi" w:hAnsiTheme="minorHAnsi" w:cstheme="minorHAnsi"/>
          <w:lang w:val="bg-BG"/>
        </w:rPr>
        <w:t>в срока на договора/анекса.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</w:t>
      </w:r>
      <w:r>
        <w:rPr>
          <w:rFonts w:asciiTheme="minorHAnsi" w:hAnsiTheme="minorHAnsi" w:cstheme="minorHAnsi"/>
          <w:lang w:val="bg-BG"/>
        </w:rPr>
        <w:t>а за сътрудничество за развитие.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без устойчива проектна история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по-малко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2844B4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по-малък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2844B4" w:rsidRPr="002844B4" w:rsidRDefault="002844B4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2844B4">
        <w:rPr>
          <w:rFonts w:asciiTheme="minorHAnsi" w:hAnsiTheme="minorHAnsi" w:cstheme="minorHAnsi"/>
          <w:lang w:val="bg-BG"/>
        </w:rPr>
        <w:t>Кандидати</w:t>
      </w:r>
      <w:r>
        <w:rPr>
          <w:rFonts w:asciiTheme="minorHAnsi" w:hAnsiTheme="minorHAnsi" w:cstheme="minorHAnsi"/>
          <w:lang w:val="bg-BG"/>
        </w:rPr>
        <w:t>,</w:t>
      </w:r>
      <w:r w:rsidRPr="002844B4">
        <w:rPr>
          <w:rFonts w:asciiTheme="minorHAnsi" w:hAnsiTheme="minorHAnsi" w:cstheme="minorHAnsi"/>
          <w:lang w:val="bg-BG"/>
        </w:rPr>
        <w:t xml:space="preserve"> които са получили авансово финансиране в края на 2022 г. и с продължаващо изпълнение на проекта през 2024 г.,</w:t>
      </w:r>
      <w:r>
        <w:rPr>
          <w:rFonts w:asciiTheme="minorHAnsi" w:hAnsiTheme="minorHAnsi" w:cstheme="minorHAnsi"/>
          <w:lang w:val="bg-BG"/>
        </w:rPr>
        <w:t xml:space="preserve"> и нямат представен и одобрен междинен отчет към момента на обявяване на кампанията за получаване на проектни предложения за финансиране през 2025 г.</w:t>
      </w:r>
    </w:p>
    <w:p w:rsidR="00D351BD" w:rsidRPr="00EC6573" w:rsidRDefault="00D351BD" w:rsidP="00EC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EC6573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Кандидатите не могат да подават повече от едно проектно предложение по настоящата обява.</w:t>
      </w:r>
      <w:r w:rsidRPr="00EC6573"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В случай че кандидат подаде повече от едно проектно предложение, всички негови подадени проектни предложения ще бъдат изключени от последваща оценка.</w:t>
      </w: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:rsidR="005C31C2" w:rsidRPr="005C31C2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lastRenderedPageBreak/>
        <w:t xml:space="preserve">Дейности, допринасящи за укрепване на публичните институции в </w:t>
      </w:r>
      <w:r w:rsidR="00BE543B">
        <w:rPr>
          <w:rFonts w:eastAsia="Times New Roman" w:cstheme="minorHAnsi"/>
          <w:iCs/>
          <w:color w:val="212121"/>
          <w:sz w:val="24"/>
          <w:szCs w:val="24"/>
          <w:lang w:val="bg-BG"/>
        </w:rPr>
        <w:t>Република Сърбия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B1782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семинари, форуми, конференции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D038D" w:rsidRPr="00B40895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B40895">
        <w:rPr>
          <w:rFonts w:asciiTheme="minorHAnsi" w:hAnsiTheme="minorHAnsi" w:cstheme="minorHAnsi"/>
          <w:iCs/>
          <w:color w:val="212121"/>
          <w:lang w:val="bg-BG"/>
        </w:rPr>
        <w:t xml:space="preserve">ини, домове за стари хора и 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др.</w:t>
      </w:r>
    </w:p>
    <w:p w:rsidR="005D038D" w:rsidRPr="00837C58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EC6573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u w:val="single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на стойност</w:t>
      </w:r>
      <w:r w:rsidRPr="00EC6573">
        <w:rPr>
          <w:rFonts w:asciiTheme="minorHAnsi" w:hAnsiTheme="minorHAnsi" w:cstheme="minorHAnsi"/>
          <w:b/>
          <w:u w:val="single"/>
          <w:lang w:val="ru-RU"/>
        </w:rPr>
        <w:t xml:space="preserve">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от 3 до 5 % от общата стойност на безвъзмездната финансова помощ за изпълнението на проекта.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:rsidR="000764FB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lastRenderedPageBreak/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0764FB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0764FB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6D739F" w:rsidRPr="00351775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351775" w:rsidRPr="008853E2" w:rsidRDefault="00351775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EC6573">
        <w:rPr>
          <w:rFonts w:asciiTheme="minorHAnsi" w:hAnsiTheme="minorHAnsi" w:cstheme="minorHAnsi"/>
          <w:b/>
          <w:u w:val="single"/>
          <w:lang w:val="bg-BG"/>
        </w:rPr>
        <w:t>разходи за извършване на превод на документацията по проекта в раздел „Разходи за управление на проекта</w:t>
      </w:r>
      <w:r w:rsidR="00823966">
        <w:rPr>
          <w:rFonts w:asciiTheme="minorHAnsi" w:hAnsiTheme="minorHAnsi" w:cstheme="minorHAnsi"/>
          <w:b/>
          <w:u w:val="single"/>
          <w:lang w:val="bg-BG"/>
        </w:rPr>
        <w:t>“</w:t>
      </w:r>
    </w:p>
    <w:p w:rsidR="008853E2" w:rsidRPr="008853E2" w:rsidRDefault="008853E2" w:rsidP="008853E2">
      <w:pPr>
        <w:shd w:val="clear" w:color="auto" w:fill="FFFFFF"/>
        <w:spacing w:after="150"/>
        <w:jc w:val="both"/>
        <w:rPr>
          <w:rFonts w:cstheme="minorHAnsi"/>
          <w:lang w:val="bg-BG"/>
        </w:rPr>
      </w:pP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Комунални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Банкови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EC6573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Подлежащо на възстановяване ДДС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EC6573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Глоби, неустой</w:t>
      </w:r>
      <w:r w:rsidR="00C6334B" w:rsidRPr="00EC6573">
        <w:rPr>
          <w:rFonts w:asciiTheme="minorHAnsi" w:hAnsiTheme="minorHAnsi" w:cstheme="minorHAnsi"/>
          <w:b/>
          <w:color w:val="212121"/>
          <w:lang w:val="bg-BG"/>
        </w:rPr>
        <w:t>ки и разходи за съдебни процеси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:rsidR="00D351BD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B1782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lastRenderedPageBreak/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proofErr w:type="spellStart"/>
      <w:r w:rsidR="0082319A">
        <w:rPr>
          <w:rFonts w:cstheme="minorHAnsi"/>
          <w:color w:val="212121"/>
          <w:lang w:val="ru-RU"/>
        </w:rPr>
        <w:t>Република</w:t>
      </w:r>
      <w:proofErr w:type="spellEnd"/>
      <w:r w:rsidR="00501299">
        <w:rPr>
          <w:rFonts w:cstheme="minorHAnsi"/>
          <w:color w:val="212121"/>
          <w:lang w:val="ru-RU"/>
        </w:rPr>
        <w:t xml:space="preserve"> </w:t>
      </w:r>
      <w:proofErr w:type="spellStart"/>
      <w:r w:rsidR="00501299">
        <w:rPr>
          <w:rFonts w:cstheme="minorHAnsi"/>
          <w:color w:val="212121"/>
          <w:lang w:val="ru-RU"/>
        </w:rPr>
        <w:t>Сърбия</w:t>
      </w:r>
      <w:proofErr w:type="spellEnd"/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EC6573" w:rsidRDefault="00EC657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C6573" w:rsidRDefault="00EC657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2D2FFE" w:rsidRPr="002D2FFE" w:rsidRDefault="002D2FFE" w:rsidP="002D2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D2FFE">
        <w:rPr>
          <w:rFonts w:eastAsia="Times New Roman" w:cstheme="minorHAnsi"/>
          <w:i/>
          <w:color w:val="212121"/>
          <w:sz w:val="24"/>
          <w:szCs w:val="24"/>
          <w:lang w:val="bg-BG"/>
        </w:rPr>
        <w:t>Проектните предложения ще се приемат по електронната поща на адрес:</w:t>
      </w:r>
    </w:p>
    <w:p w:rsidR="002D2FFE" w:rsidRPr="002D2FFE" w:rsidRDefault="002D2FFE" w:rsidP="002D2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D2FFE">
        <w:rPr>
          <w:rFonts w:eastAsia="Times New Roman" w:cstheme="minorHAnsi"/>
          <w:i/>
          <w:color w:val="212121"/>
          <w:sz w:val="24"/>
          <w:szCs w:val="24"/>
          <w:lang w:val="bg-BG"/>
        </w:rPr>
        <w:t>bul_oda_serbia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_202</w:t>
      </w:r>
      <w:r w:rsidR="003A06D4">
        <w:rPr>
          <w:rFonts w:eastAsia="Times New Roman" w:cstheme="minorHAnsi"/>
          <w:i/>
          <w:color w:val="212121"/>
          <w:sz w:val="24"/>
          <w:szCs w:val="24"/>
          <w:lang w:val="bg-BG"/>
        </w:rPr>
        <w:t>5</w:t>
      </w:r>
      <w:r w:rsidRPr="002D2FFE">
        <w:rPr>
          <w:rFonts w:eastAsia="Times New Roman" w:cstheme="minorHAnsi"/>
          <w:i/>
          <w:color w:val="212121"/>
          <w:sz w:val="24"/>
          <w:szCs w:val="24"/>
          <w:lang w:val="bg-BG"/>
        </w:rPr>
        <w:t>@mfa.bg</w:t>
      </w:r>
    </w:p>
    <w:p w:rsidR="002D2FFE" w:rsidRPr="002D2FFE" w:rsidRDefault="002D2FFE" w:rsidP="002D2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</w:p>
    <w:p w:rsidR="002D2FFE" w:rsidRPr="002D2FFE" w:rsidRDefault="002D2FFE" w:rsidP="002D2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D2FF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Проектните предложения трябва задължително да бъдат изпращани като два отделни файла - /1/ във формат Word и /2/ във формат </w:t>
      </w:r>
      <w:proofErr w:type="spellStart"/>
      <w:r w:rsidRPr="002D2FFE">
        <w:rPr>
          <w:rFonts w:eastAsia="Times New Roman" w:cstheme="minorHAnsi"/>
          <w:i/>
          <w:color w:val="212121"/>
          <w:sz w:val="24"/>
          <w:szCs w:val="24"/>
          <w:lang w:val="bg-BG"/>
        </w:rPr>
        <w:t>PDF</w:t>
      </w:r>
      <w:proofErr w:type="spellEnd"/>
      <w:r w:rsidRPr="002D2FF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(сканиран с подпис и печат).</w:t>
      </w:r>
    </w:p>
    <w:p w:rsidR="002D2FFE" w:rsidRPr="002D2FFE" w:rsidRDefault="002D2FFE" w:rsidP="002D2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D2FF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2D2FFE" w:rsidRPr="002D2FFE" w:rsidRDefault="002D2FFE" w:rsidP="002D2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D2FFE">
        <w:rPr>
          <w:rFonts w:eastAsia="Times New Roman" w:cstheme="minorHAnsi"/>
          <w:i/>
          <w:color w:val="212121"/>
          <w:sz w:val="24"/>
          <w:szCs w:val="24"/>
          <w:lang w:val="bg-BG"/>
        </w:rPr>
        <w:t>Проектите следва да бъдат на български или на английски език.</w:t>
      </w:r>
    </w:p>
    <w:p w:rsidR="002D2FFE" w:rsidRPr="002D2FFE" w:rsidRDefault="002D2FFE" w:rsidP="002D2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D2FF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3046E7" w:rsidRPr="00FF1CFF" w:rsidRDefault="002D2FFE" w:rsidP="00FF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2D2FFE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Проектите се приемат в срок до </w:t>
      </w:r>
      <w:r w:rsidR="00FF1CFF" w:rsidRPr="00FF1CFF">
        <w:rPr>
          <w:rFonts w:eastAsia="Times New Roman" w:cstheme="minorHAnsi"/>
          <w:i/>
          <w:color w:val="212121"/>
          <w:sz w:val="24"/>
          <w:szCs w:val="24"/>
          <w:lang w:val="bg-BG"/>
        </w:rPr>
        <w:t>31 юли 2024 г.</w:t>
      </w: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C6334B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lastRenderedPageBreak/>
        <w:t>Сроковете 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D351BD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4A3FC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 по образец)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50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% от размера 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40%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но не повече от 10%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:rsidR="00D351BD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814F03" w:rsidRDefault="00814F0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2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743191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743191">
        <w:rPr>
          <w:rFonts w:eastAsia="Times New Roman" w:cstheme="minorHAnsi"/>
          <w:color w:val="212121"/>
          <w:sz w:val="24"/>
          <w:szCs w:val="24"/>
          <w:lang w:val="bg-BG"/>
        </w:rPr>
        <w:t>Република Сърбия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постъпилите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проектн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и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предложени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7062B5" w:rsidRPr="00DE541A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Pr="00DE541A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Приложение 1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Verdana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Чл.23</w:t>
      </w:r>
      <w:r>
        <w:rPr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) </w:t>
      </w:r>
      <w:r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theme="minorHAnsi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(7) </w:t>
      </w:r>
      <w:r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>
        <w:rPr>
          <w:rFonts w:cstheme="minorHAnsi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lastRenderedPageBreak/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DE541A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DE541A" w:rsidSect="00814F03">
      <w:footerReference w:type="default" r:id="rId10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67" w:rsidRDefault="00CA7567" w:rsidP="003E46F1">
      <w:pPr>
        <w:spacing w:after="0" w:line="240" w:lineRule="auto"/>
      </w:pPr>
      <w:r>
        <w:separator/>
      </w:r>
    </w:p>
  </w:endnote>
  <w:endnote w:type="continuationSeparator" w:id="0">
    <w:p w:rsidR="00CA7567" w:rsidRDefault="00CA7567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3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67" w:rsidRDefault="00CA7567" w:rsidP="003E46F1">
      <w:pPr>
        <w:spacing w:after="0" w:line="240" w:lineRule="auto"/>
      </w:pPr>
      <w:r>
        <w:separator/>
      </w:r>
    </w:p>
  </w:footnote>
  <w:footnote w:type="continuationSeparator" w:id="0">
    <w:p w:rsidR="00CA7567" w:rsidRDefault="00CA7567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0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640C73"/>
    <w:multiLevelType w:val="multilevel"/>
    <w:tmpl w:val="93DE5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805593"/>
    <w:multiLevelType w:val="hybridMultilevel"/>
    <w:tmpl w:val="6A8034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8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1"/>
  </w:num>
  <w:num w:numId="3">
    <w:abstractNumId w:val="34"/>
  </w:num>
  <w:num w:numId="4">
    <w:abstractNumId w:val="25"/>
  </w:num>
  <w:num w:numId="5">
    <w:abstractNumId w:val="23"/>
  </w:num>
  <w:num w:numId="6">
    <w:abstractNumId w:val="26"/>
  </w:num>
  <w:num w:numId="7">
    <w:abstractNumId w:val="27"/>
  </w:num>
  <w:num w:numId="8">
    <w:abstractNumId w:val="18"/>
  </w:num>
  <w:num w:numId="9">
    <w:abstractNumId w:val="12"/>
  </w:num>
  <w:num w:numId="10">
    <w:abstractNumId w:val="30"/>
  </w:num>
  <w:num w:numId="11">
    <w:abstractNumId w:val="28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31"/>
  </w:num>
  <w:num w:numId="20">
    <w:abstractNumId w:val="29"/>
  </w:num>
  <w:num w:numId="21">
    <w:abstractNumId w:val="32"/>
  </w:num>
  <w:num w:numId="22">
    <w:abstractNumId w:val="16"/>
  </w:num>
  <w:num w:numId="23">
    <w:abstractNumId w:val="5"/>
  </w:num>
  <w:num w:numId="24">
    <w:abstractNumId w:val="19"/>
  </w:num>
  <w:num w:numId="25">
    <w:abstractNumId w:val="14"/>
  </w:num>
  <w:num w:numId="26">
    <w:abstractNumId w:val="15"/>
  </w:num>
  <w:num w:numId="27">
    <w:abstractNumId w:val="6"/>
  </w:num>
  <w:num w:numId="28">
    <w:abstractNumId w:val="13"/>
  </w:num>
  <w:num w:numId="29">
    <w:abstractNumId w:val="8"/>
  </w:num>
  <w:num w:numId="30">
    <w:abstractNumId w:val="17"/>
  </w:num>
  <w:num w:numId="31">
    <w:abstractNumId w:val="20"/>
  </w:num>
  <w:num w:numId="32">
    <w:abstractNumId w:val="11"/>
  </w:num>
  <w:num w:numId="33">
    <w:abstractNumId w:val="3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04AAD"/>
    <w:rsid w:val="00010714"/>
    <w:rsid w:val="000404D5"/>
    <w:rsid w:val="000471A9"/>
    <w:rsid w:val="000556DF"/>
    <w:rsid w:val="00067A16"/>
    <w:rsid w:val="000764FB"/>
    <w:rsid w:val="00076984"/>
    <w:rsid w:val="000778B3"/>
    <w:rsid w:val="00083CDC"/>
    <w:rsid w:val="000864E7"/>
    <w:rsid w:val="00090364"/>
    <w:rsid w:val="00091196"/>
    <w:rsid w:val="0009532A"/>
    <w:rsid w:val="000A063C"/>
    <w:rsid w:val="000A07B5"/>
    <w:rsid w:val="000A6672"/>
    <w:rsid w:val="000B48F1"/>
    <w:rsid w:val="000D69C2"/>
    <w:rsid w:val="000D6E7C"/>
    <w:rsid w:val="000E497B"/>
    <w:rsid w:val="000F54B6"/>
    <w:rsid w:val="0012296E"/>
    <w:rsid w:val="001302CC"/>
    <w:rsid w:val="0013401C"/>
    <w:rsid w:val="0013609B"/>
    <w:rsid w:val="001445D1"/>
    <w:rsid w:val="0016003C"/>
    <w:rsid w:val="0016578E"/>
    <w:rsid w:val="00165F76"/>
    <w:rsid w:val="0017461F"/>
    <w:rsid w:val="00176FE2"/>
    <w:rsid w:val="00182362"/>
    <w:rsid w:val="00193048"/>
    <w:rsid w:val="00195027"/>
    <w:rsid w:val="001A1179"/>
    <w:rsid w:val="001A3B32"/>
    <w:rsid w:val="001B1DE3"/>
    <w:rsid w:val="001B1E0A"/>
    <w:rsid w:val="001B3B61"/>
    <w:rsid w:val="001D1D81"/>
    <w:rsid w:val="001D4F9E"/>
    <w:rsid w:val="001E2A04"/>
    <w:rsid w:val="001E40D4"/>
    <w:rsid w:val="001E6A0E"/>
    <w:rsid w:val="001F252A"/>
    <w:rsid w:val="001F5968"/>
    <w:rsid w:val="00202479"/>
    <w:rsid w:val="00206DB9"/>
    <w:rsid w:val="00215812"/>
    <w:rsid w:val="00220344"/>
    <w:rsid w:val="00220D70"/>
    <w:rsid w:val="002228F8"/>
    <w:rsid w:val="00222C05"/>
    <w:rsid w:val="00224B89"/>
    <w:rsid w:val="002310AA"/>
    <w:rsid w:val="00235E78"/>
    <w:rsid w:val="00265E72"/>
    <w:rsid w:val="0026733B"/>
    <w:rsid w:val="00271C40"/>
    <w:rsid w:val="00280A15"/>
    <w:rsid w:val="00281A59"/>
    <w:rsid w:val="002844B4"/>
    <w:rsid w:val="00284CD0"/>
    <w:rsid w:val="002A57F6"/>
    <w:rsid w:val="002A7298"/>
    <w:rsid w:val="002C0C0C"/>
    <w:rsid w:val="002D2B18"/>
    <w:rsid w:val="002D2C8E"/>
    <w:rsid w:val="002D2FFE"/>
    <w:rsid w:val="002F11F3"/>
    <w:rsid w:val="002F2B17"/>
    <w:rsid w:val="002F2C52"/>
    <w:rsid w:val="003046E7"/>
    <w:rsid w:val="00312EF5"/>
    <w:rsid w:val="00326EB3"/>
    <w:rsid w:val="00327425"/>
    <w:rsid w:val="00335184"/>
    <w:rsid w:val="00342F15"/>
    <w:rsid w:val="00351775"/>
    <w:rsid w:val="00351785"/>
    <w:rsid w:val="00351F71"/>
    <w:rsid w:val="003667E0"/>
    <w:rsid w:val="00374D85"/>
    <w:rsid w:val="00385BAF"/>
    <w:rsid w:val="0038753A"/>
    <w:rsid w:val="00393C50"/>
    <w:rsid w:val="003A06D4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049E8"/>
    <w:rsid w:val="0041066A"/>
    <w:rsid w:val="0041406E"/>
    <w:rsid w:val="004157E9"/>
    <w:rsid w:val="00417181"/>
    <w:rsid w:val="0042188D"/>
    <w:rsid w:val="004249B4"/>
    <w:rsid w:val="004550A1"/>
    <w:rsid w:val="00457382"/>
    <w:rsid w:val="00457B41"/>
    <w:rsid w:val="00476934"/>
    <w:rsid w:val="00482B91"/>
    <w:rsid w:val="004934CB"/>
    <w:rsid w:val="00494D41"/>
    <w:rsid w:val="00494E2E"/>
    <w:rsid w:val="004A3FC8"/>
    <w:rsid w:val="004A5F20"/>
    <w:rsid w:val="004B5E64"/>
    <w:rsid w:val="004D113C"/>
    <w:rsid w:val="004D6D1D"/>
    <w:rsid w:val="004D7BA4"/>
    <w:rsid w:val="004E03DD"/>
    <w:rsid w:val="004E76A0"/>
    <w:rsid w:val="004F4160"/>
    <w:rsid w:val="00501299"/>
    <w:rsid w:val="0052407A"/>
    <w:rsid w:val="0053320E"/>
    <w:rsid w:val="00542C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4B77"/>
    <w:rsid w:val="005959C2"/>
    <w:rsid w:val="005A3DA8"/>
    <w:rsid w:val="005B077C"/>
    <w:rsid w:val="005C03E0"/>
    <w:rsid w:val="005C31C2"/>
    <w:rsid w:val="005C594D"/>
    <w:rsid w:val="005D038D"/>
    <w:rsid w:val="005D4674"/>
    <w:rsid w:val="005D5B7B"/>
    <w:rsid w:val="005D7B25"/>
    <w:rsid w:val="005E6AC8"/>
    <w:rsid w:val="005E6BCF"/>
    <w:rsid w:val="005F2A2E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51020"/>
    <w:rsid w:val="006652D0"/>
    <w:rsid w:val="0066700A"/>
    <w:rsid w:val="00675165"/>
    <w:rsid w:val="0067706D"/>
    <w:rsid w:val="006810BF"/>
    <w:rsid w:val="00681C10"/>
    <w:rsid w:val="00685AA2"/>
    <w:rsid w:val="00695619"/>
    <w:rsid w:val="006B2221"/>
    <w:rsid w:val="006D0F40"/>
    <w:rsid w:val="006D3A0D"/>
    <w:rsid w:val="006D739F"/>
    <w:rsid w:val="006E6586"/>
    <w:rsid w:val="006F19AA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43191"/>
    <w:rsid w:val="00754B52"/>
    <w:rsid w:val="00756D26"/>
    <w:rsid w:val="007715FC"/>
    <w:rsid w:val="0077253D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319A"/>
    <w:rsid w:val="00823966"/>
    <w:rsid w:val="0082498D"/>
    <w:rsid w:val="00837C58"/>
    <w:rsid w:val="00847D27"/>
    <w:rsid w:val="00852360"/>
    <w:rsid w:val="008567B8"/>
    <w:rsid w:val="00864CD3"/>
    <w:rsid w:val="0086609E"/>
    <w:rsid w:val="00872A85"/>
    <w:rsid w:val="008853E2"/>
    <w:rsid w:val="00896D8E"/>
    <w:rsid w:val="008975A0"/>
    <w:rsid w:val="008B31BC"/>
    <w:rsid w:val="008B6F1C"/>
    <w:rsid w:val="008E1374"/>
    <w:rsid w:val="008F52E9"/>
    <w:rsid w:val="0091200B"/>
    <w:rsid w:val="0091450D"/>
    <w:rsid w:val="00917E9C"/>
    <w:rsid w:val="009529DF"/>
    <w:rsid w:val="009536E2"/>
    <w:rsid w:val="00953829"/>
    <w:rsid w:val="00956173"/>
    <w:rsid w:val="0097308E"/>
    <w:rsid w:val="00973678"/>
    <w:rsid w:val="00975A35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9F5C45"/>
    <w:rsid w:val="00A04C0D"/>
    <w:rsid w:val="00A124C9"/>
    <w:rsid w:val="00A14F41"/>
    <w:rsid w:val="00A170C5"/>
    <w:rsid w:val="00A171A2"/>
    <w:rsid w:val="00A200EF"/>
    <w:rsid w:val="00A406B2"/>
    <w:rsid w:val="00A51EFA"/>
    <w:rsid w:val="00A60EFF"/>
    <w:rsid w:val="00A618A4"/>
    <w:rsid w:val="00A65E1E"/>
    <w:rsid w:val="00A75138"/>
    <w:rsid w:val="00A8795C"/>
    <w:rsid w:val="00AB4C5F"/>
    <w:rsid w:val="00AD5295"/>
    <w:rsid w:val="00AD7C1F"/>
    <w:rsid w:val="00AE2652"/>
    <w:rsid w:val="00AF49F7"/>
    <w:rsid w:val="00AF7A07"/>
    <w:rsid w:val="00B00E6B"/>
    <w:rsid w:val="00B024CB"/>
    <w:rsid w:val="00B12C2A"/>
    <w:rsid w:val="00B17821"/>
    <w:rsid w:val="00B3731B"/>
    <w:rsid w:val="00B40895"/>
    <w:rsid w:val="00B415C3"/>
    <w:rsid w:val="00B47EF6"/>
    <w:rsid w:val="00B50661"/>
    <w:rsid w:val="00B56933"/>
    <w:rsid w:val="00B74081"/>
    <w:rsid w:val="00B8180A"/>
    <w:rsid w:val="00B9176B"/>
    <w:rsid w:val="00B93894"/>
    <w:rsid w:val="00B95A0A"/>
    <w:rsid w:val="00BA1059"/>
    <w:rsid w:val="00BB1393"/>
    <w:rsid w:val="00BC1DE9"/>
    <w:rsid w:val="00BC622E"/>
    <w:rsid w:val="00BC6297"/>
    <w:rsid w:val="00BD2320"/>
    <w:rsid w:val="00BD3E6B"/>
    <w:rsid w:val="00BD612D"/>
    <w:rsid w:val="00BE543B"/>
    <w:rsid w:val="00BE5CE3"/>
    <w:rsid w:val="00C005D6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A7567"/>
    <w:rsid w:val="00CB533B"/>
    <w:rsid w:val="00CD3768"/>
    <w:rsid w:val="00CD6767"/>
    <w:rsid w:val="00CD6B4F"/>
    <w:rsid w:val="00CE16AE"/>
    <w:rsid w:val="00CE2175"/>
    <w:rsid w:val="00CE259B"/>
    <w:rsid w:val="00CF33F5"/>
    <w:rsid w:val="00CF4FF7"/>
    <w:rsid w:val="00CF783E"/>
    <w:rsid w:val="00D07BD2"/>
    <w:rsid w:val="00D10230"/>
    <w:rsid w:val="00D26713"/>
    <w:rsid w:val="00D30452"/>
    <w:rsid w:val="00D30EB9"/>
    <w:rsid w:val="00D30F1E"/>
    <w:rsid w:val="00D31FDB"/>
    <w:rsid w:val="00D351BD"/>
    <w:rsid w:val="00D40B90"/>
    <w:rsid w:val="00D41C68"/>
    <w:rsid w:val="00D47533"/>
    <w:rsid w:val="00D52FEE"/>
    <w:rsid w:val="00D63F24"/>
    <w:rsid w:val="00D647D7"/>
    <w:rsid w:val="00D656D0"/>
    <w:rsid w:val="00D66A15"/>
    <w:rsid w:val="00D744CA"/>
    <w:rsid w:val="00D9501B"/>
    <w:rsid w:val="00DA323F"/>
    <w:rsid w:val="00DA3B03"/>
    <w:rsid w:val="00DB5CB5"/>
    <w:rsid w:val="00DC0ACF"/>
    <w:rsid w:val="00DE3405"/>
    <w:rsid w:val="00DE541A"/>
    <w:rsid w:val="00DF15D2"/>
    <w:rsid w:val="00E03127"/>
    <w:rsid w:val="00E15899"/>
    <w:rsid w:val="00E17DE5"/>
    <w:rsid w:val="00E22FA3"/>
    <w:rsid w:val="00E23A1A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05AB"/>
    <w:rsid w:val="00E81F02"/>
    <w:rsid w:val="00E859F6"/>
    <w:rsid w:val="00E96C5C"/>
    <w:rsid w:val="00EA0EB6"/>
    <w:rsid w:val="00EB251F"/>
    <w:rsid w:val="00EB5DE7"/>
    <w:rsid w:val="00EC3CFC"/>
    <w:rsid w:val="00EC6573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A9BA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009C4DEC-90F1-46B1-9770-6874C22D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2950</Words>
  <Characters>16818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MFA_32</cp:lastModifiedBy>
  <cp:revision>53</cp:revision>
  <cp:lastPrinted>2023-03-17T10:29:00Z</cp:lastPrinted>
  <dcterms:created xsi:type="dcterms:W3CDTF">2024-06-07T12:16:00Z</dcterms:created>
  <dcterms:modified xsi:type="dcterms:W3CDTF">2024-06-07T13:41:00Z</dcterms:modified>
</cp:coreProperties>
</file>